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265695" w:rsidRDefault="00BF6AFA">
      <w:pPr>
        <w:jc w:val="center"/>
        <w:rPr>
          <w:b/>
        </w:rPr>
      </w:pPr>
      <w:bookmarkStart w:id="0" w:name="_GoBack"/>
      <w:bookmarkEnd w:id="0"/>
      <w:r>
        <w:rPr>
          <w:b/>
        </w:rPr>
        <w:t>PROGETTO</w:t>
      </w:r>
    </w:p>
    <w:p w14:paraId="00000002" w14:textId="681814EA" w:rsidR="00265695" w:rsidRDefault="00BF6AFA">
      <w:pPr>
        <w:jc w:val="both"/>
      </w:pPr>
      <w:r>
        <w:t xml:space="preserve">L’Istituto Tecnico Industriale “Don G. </w:t>
      </w:r>
      <w:proofErr w:type="spellStart"/>
      <w:r>
        <w:t>Morosini</w:t>
      </w:r>
      <w:proofErr w:type="spellEnd"/>
      <w:r>
        <w:t>” di Ferentino organizza, anche  per questo anno scolastico, dei giochi di logica, matematica e…altro, rivolgendosi agli studenti dell’ultima classe degli Istituti di Istruzione  Secondaria di primo grado al fine di promuovere sul territorio sia l’interesse verso l’Istituto stesso sia un approccio più sereno con la scuola superiore nell’ottica dell’orientamento e della continuità'.</w:t>
      </w:r>
    </w:p>
    <w:p w14:paraId="00000003" w14:textId="77777777" w:rsidR="00265695" w:rsidRDefault="00BF6AFA">
      <w:pPr>
        <w:jc w:val="both"/>
      </w:pPr>
      <w:r>
        <w:t>Viste le limitazioni dettate dall’emergenza COVID,</w:t>
      </w:r>
      <w:r>
        <w:rPr>
          <w:u w:val="single"/>
        </w:rPr>
        <w:t xml:space="preserve"> </w:t>
      </w:r>
      <w:r>
        <w:rPr>
          <w:b/>
          <w:u w:val="single"/>
        </w:rPr>
        <w:t>le prime due fasi dei giochi si svolgeranno solo ed esclusivamente  via web</w:t>
      </w:r>
      <w:r>
        <w:t xml:space="preserve"> (utilizzando la piattaforma </w:t>
      </w:r>
      <w:proofErr w:type="spellStart"/>
      <w:r>
        <w:t>google</w:t>
      </w:r>
      <w:proofErr w:type="spellEnd"/>
      <w:r>
        <w:t xml:space="preserve"> moduli).</w:t>
      </w:r>
    </w:p>
    <w:p w14:paraId="00000004" w14:textId="77777777" w:rsidR="00265695" w:rsidRDefault="00BF6AFA">
      <w:pPr>
        <w:jc w:val="both"/>
      </w:pPr>
      <w:r>
        <w:t xml:space="preserve">Per quanto riguarda la gara finale si cercherà di svolgerla presso il nostro Istituto, compatibilmente con la situazione sanitaria del momento. </w:t>
      </w:r>
    </w:p>
    <w:p w14:paraId="00000005" w14:textId="77777777" w:rsidR="00265695" w:rsidRDefault="00BF6AFA">
      <w:pPr>
        <w:jc w:val="both"/>
      </w:pPr>
      <w:r>
        <w:t>Le prove si articoleranno secondo il seguente calendario:</w:t>
      </w:r>
    </w:p>
    <w:p w14:paraId="00000006" w14:textId="0CA6A5B4" w:rsidR="00265695" w:rsidRDefault="00BF6AFA">
      <w:pPr>
        <w:numPr>
          <w:ilvl w:val="0"/>
          <w:numId w:val="1"/>
        </w:numPr>
        <w:pBdr>
          <w:top w:val="nil"/>
          <w:left w:val="nil"/>
          <w:bottom w:val="nil"/>
          <w:right w:val="nil"/>
          <w:between w:val="nil"/>
        </w:pBdr>
        <w:spacing w:after="0"/>
        <w:jc w:val="both"/>
      </w:pPr>
      <w:r>
        <w:rPr>
          <w:color w:val="000000"/>
        </w:rPr>
        <w:t xml:space="preserve">Presumibilmente il </w:t>
      </w:r>
      <w:r>
        <w:t>19/11/2021</w:t>
      </w:r>
      <w:r>
        <w:rPr>
          <w:color w:val="000000"/>
        </w:rPr>
        <w:t xml:space="preserve"> </w:t>
      </w:r>
      <w:r>
        <w:t xml:space="preserve">,presso la vostra scuola ed </w:t>
      </w:r>
      <w:r>
        <w:rPr>
          <w:b/>
          <w:u w:val="single"/>
        </w:rPr>
        <w:t xml:space="preserve">esclusivamente </w:t>
      </w:r>
      <w:proofErr w:type="spellStart"/>
      <w:r>
        <w:rPr>
          <w:b/>
          <w:u w:val="single"/>
        </w:rPr>
        <w:t>online</w:t>
      </w:r>
      <w:r>
        <w:t>,sarà</w:t>
      </w:r>
      <w:proofErr w:type="spellEnd"/>
      <w:r>
        <w:t xml:space="preserve"> possibile svolgere, da ciascuna classe, la prima prova.</w:t>
      </w:r>
      <w:r w:rsidR="00993C8A">
        <w:t xml:space="preserve"> </w:t>
      </w:r>
      <w:r>
        <w:t>Il testo della prova  verrà pubblicato lo stesso giorno  sul sito della scuola</w:t>
      </w:r>
      <w:r>
        <w:rPr>
          <w:color w:val="000000"/>
        </w:rPr>
        <w:t xml:space="preserve"> </w:t>
      </w:r>
      <w:hyperlink r:id="rId8">
        <w:r>
          <w:rPr>
            <w:color w:val="0000FF"/>
            <w:u w:val="single"/>
          </w:rPr>
          <w:t>www.itismorosini.</w:t>
        </w:r>
      </w:hyperlink>
      <w:hyperlink r:id="rId9">
        <w:r>
          <w:rPr>
            <w:color w:val="0000FF"/>
            <w:u w:val="single"/>
          </w:rPr>
          <w:t>edu</w:t>
        </w:r>
      </w:hyperlink>
      <w:hyperlink r:id="rId10">
        <w:r>
          <w:rPr>
            <w:color w:val="0000FF"/>
            <w:u w:val="single"/>
          </w:rPr>
          <w:t>.it</w:t>
        </w:r>
      </w:hyperlink>
      <w:r>
        <w:rPr>
          <w:color w:val="000000"/>
        </w:rPr>
        <w:t xml:space="preserve"> </w:t>
      </w:r>
    </w:p>
    <w:p w14:paraId="00000007" w14:textId="77777777" w:rsidR="00265695" w:rsidRDefault="00265695">
      <w:pPr>
        <w:pBdr>
          <w:top w:val="nil"/>
          <w:left w:val="nil"/>
          <w:bottom w:val="nil"/>
          <w:right w:val="nil"/>
          <w:between w:val="nil"/>
        </w:pBdr>
        <w:spacing w:after="0"/>
        <w:ind w:left="720" w:hanging="720"/>
        <w:jc w:val="both"/>
        <w:rPr>
          <w:color w:val="000000"/>
        </w:rPr>
      </w:pPr>
    </w:p>
    <w:p w14:paraId="00000008" w14:textId="77777777" w:rsidR="00265695" w:rsidRDefault="00BF6AFA">
      <w:pPr>
        <w:numPr>
          <w:ilvl w:val="0"/>
          <w:numId w:val="1"/>
        </w:numPr>
        <w:pBdr>
          <w:top w:val="nil"/>
          <w:left w:val="nil"/>
          <w:bottom w:val="nil"/>
          <w:right w:val="nil"/>
          <w:between w:val="nil"/>
        </w:pBdr>
        <w:spacing w:after="0"/>
        <w:jc w:val="both"/>
      </w:pPr>
      <w:r>
        <w:rPr>
          <w:color w:val="000000"/>
        </w:rPr>
        <w:t xml:space="preserve">Presumibilmente il giorno </w:t>
      </w:r>
      <w:r>
        <w:t>10/12/2021</w:t>
      </w:r>
      <w:r>
        <w:rPr>
          <w:b/>
          <w:u w:val="single"/>
        </w:rPr>
        <w:t>,sempre online</w:t>
      </w:r>
      <w:r>
        <w:t>, sarà possibile svolgere la seconda prova.</w:t>
      </w:r>
      <w:r>
        <w:rPr>
          <w:color w:val="000000"/>
        </w:rPr>
        <w:t xml:space="preserve"> </w:t>
      </w:r>
    </w:p>
    <w:p w14:paraId="00000009" w14:textId="77777777" w:rsidR="00265695" w:rsidRDefault="00265695">
      <w:pPr>
        <w:pBdr>
          <w:top w:val="nil"/>
          <w:left w:val="nil"/>
          <w:bottom w:val="nil"/>
          <w:right w:val="nil"/>
          <w:between w:val="nil"/>
        </w:pBdr>
        <w:spacing w:after="0"/>
        <w:jc w:val="both"/>
      </w:pPr>
    </w:p>
    <w:p w14:paraId="0000000A" w14:textId="77777777" w:rsidR="00265695" w:rsidRDefault="00BF6AFA">
      <w:pPr>
        <w:numPr>
          <w:ilvl w:val="0"/>
          <w:numId w:val="1"/>
        </w:numPr>
        <w:pBdr>
          <w:top w:val="nil"/>
          <w:left w:val="nil"/>
          <w:bottom w:val="nil"/>
          <w:right w:val="nil"/>
          <w:between w:val="nil"/>
        </w:pBdr>
        <w:spacing w:after="0"/>
        <w:jc w:val="both"/>
      </w:pPr>
      <w:r>
        <w:t xml:space="preserve">Entrambe le prove andranno svolte entro, e non oltre il 16 dicembre, pena l'esclusione dalla gara. Tale limitazione è dettata dalla necessità di raccogliere i dati e stilare una graduatoria finale. </w:t>
      </w:r>
    </w:p>
    <w:p w14:paraId="0000000B" w14:textId="77777777" w:rsidR="00265695" w:rsidRDefault="00265695">
      <w:pPr>
        <w:pBdr>
          <w:top w:val="nil"/>
          <w:left w:val="nil"/>
          <w:bottom w:val="nil"/>
          <w:right w:val="nil"/>
          <w:between w:val="nil"/>
        </w:pBdr>
        <w:spacing w:after="0"/>
        <w:jc w:val="both"/>
      </w:pPr>
    </w:p>
    <w:p w14:paraId="0000000C" w14:textId="77777777" w:rsidR="00265695" w:rsidRDefault="00BF6AFA">
      <w:pPr>
        <w:numPr>
          <w:ilvl w:val="0"/>
          <w:numId w:val="1"/>
        </w:numPr>
        <w:pBdr>
          <w:top w:val="nil"/>
          <w:left w:val="nil"/>
          <w:bottom w:val="nil"/>
          <w:right w:val="nil"/>
          <w:between w:val="nil"/>
        </w:pBdr>
        <w:spacing w:after="0"/>
        <w:jc w:val="both"/>
      </w:pPr>
      <w:r>
        <w:rPr>
          <w:color w:val="000000"/>
        </w:rPr>
        <w:t xml:space="preserve">Il </w:t>
      </w:r>
      <w:r>
        <w:t>20/</w:t>
      </w:r>
      <w:r>
        <w:rPr>
          <w:color w:val="000000"/>
        </w:rPr>
        <w:t>12/20</w:t>
      </w:r>
      <w:r>
        <w:t>21</w:t>
      </w:r>
      <w:r>
        <w:rPr>
          <w:color w:val="000000"/>
        </w:rPr>
        <w:t xml:space="preserve"> sarà pubblicato sul sito l’elenco degli alunni </w:t>
      </w:r>
      <w:r>
        <w:t>selezionati per la</w:t>
      </w:r>
      <w:r>
        <w:rPr>
          <w:color w:val="000000"/>
        </w:rPr>
        <w:t xml:space="preserve"> gara finale.</w:t>
      </w:r>
    </w:p>
    <w:p w14:paraId="0000000D" w14:textId="77777777" w:rsidR="00265695" w:rsidRDefault="00265695">
      <w:pPr>
        <w:pBdr>
          <w:top w:val="nil"/>
          <w:left w:val="nil"/>
          <w:bottom w:val="nil"/>
          <w:right w:val="nil"/>
          <w:between w:val="nil"/>
        </w:pBdr>
        <w:spacing w:after="0"/>
        <w:ind w:left="720" w:hanging="720"/>
        <w:rPr>
          <w:color w:val="000000"/>
        </w:rPr>
      </w:pPr>
    </w:p>
    <w:p w14:paraId="0000000E" w14:textId="77777777" w:rsidR="00265695" w:rsidRDefault="00BF6AFA">
      <w:pPr>
        <w:numPr>
          <w:ilvl w:val="0"/>
          <w:numId w:val="1"/>
        </w:numPr>
        <w:pBdr>
          <w:top w:val="nil"/>
          <w:left w:val="nil"/>
          <w:bottom w:val="nil"/>
          <w:right w:val="nil"/>
          <w:between w:val="nil"/>
        </w:pBdr>
        <w:spacing w:after="0"/>
        <w:jc w:val="both"/>
      </w:pPr>
      <w:r>
        <w:rPr>
          <w:color w:val="000000"/>
        </w:rPr>
        <w:t>Presumibilmente il 1</w:t>
      </w:r>
      <w:r>
        <w:t>4</w:t>
      </w:r>
      <w:r>
        <w:rPr>
          <w:color w:val="000000"/>
        </w:rPr>
        <w:t>/01/20</w:t>
      </w:r>
      <w:r>
        <w:t>22,</w:t>
      </w:r>
      <w:r>
        <w:rPr>
          <w:color w:val="000000"/>
        </w:rPr>
        <w:t xml:space="preserve"> si svolgerà la gara final</w:t>
      </w:r>
      <w:r>
        <w:t xml:space="preserve">e presso il nostro Istituto, </w:t>
      </w:r>
      <w:proofErr w:type="spellStart"/>
      <w:r>
        <w:t>covid</w:t>
      </w:r>
      <w:proofErr w:type="spellEnd"/>
      <w:r>
        <w:t xml:space="preserve"> permettendo. </w:t>
      </w:r>
    </w:p>
    <w:p w14:paraId="0000000F" w14:textId="77777777" w:rsidR="00265695" w:rsidRDefault="00265695">
      <w:pPr>
        <w:pBdr>
          <w:top w:val="nil"/>
          <w:left w:val="nil"/>
          <w:bottom w:val="nil"/>
          <w:right w:val="nil"/>
          <w:between w:val="nil"/>
        </w:pBdr>
        <w:spacing w:after="0"/>
        <w:ind w:left="720"/>
        <w:jc w:val="both"/>
      </w:pPr>
    </w:p>
    <w:p w14:paraId="00000010" w14:textId="77777777" w:rsidR="00265695" w:rsidRDefault="00BF6AFA">
      <w:pPr>
        <w:numPr>
          <w:ilvl w:val="0"/>
          <w:numId w:val="1"/>
        </w:numPr>
        <w:pBdr>
          <w:top w:val="nil"/>
          <w:left w:val="nil"/>
          <w:bottom w:val="nil"/>
          <w:right w:val="nil"/>
          <w:between w:val="nil"/>
        </w:pBdr>
        <w:spacing w:after="0"/>
        <w:jc w:val="both"/>
      </w:pPr>
      <w:r>
        <w:t xml:space="preserve">I migliori 5 verranno premiati presso il nostro Istituto contestualmente alla prova finale, se in presenza, oppure entro la settimana successiva, se la finale si svolgerà on line La cerimonia verrà trasmessa in diretta per tutti coloro che vorranno, virtualmente, prenderne parte. </w:t>
      </w:r>
    </w:p>
    <w:p w14:paraId="74F240A3" w14:textId="77777777" w:rsidR="00993C8A" w:rsidRPr="00993C8A" w:rsidRDefault="00993C8A">
      <w:pPr>
        <w:ind w:left="426" w:hanging="426"/>
        <w:jc w:val="both"/>
        <w:rPr>
          <w:b/>
          <w:sz w:val="10"/>
          <w:szCs w:val="24"/>
        </w:rPr>
      </w:pPr>
    </w:p>
    <w:p w14:paraId="00000013" w14:textId="77777777" w:rsidR="00265695" w:rsidRDefault="00BF6AFA">
      <w:pPr>
        <w:ind w:left="426" w:hanging="426"/>
        <w:jc w:val="both"/>
        <w:rPr>
          <w:b/>
          <w:sz w:val="24"/>
          <w:szCs w:val="24"/>
        </w:rPr>
      </w:pPr>
      <w:r>
        <w:rPr>
          <w:b/>
          <w:sz w:val="24"/>
          <w:szCs w:val="24"/>
        </w:rPr>
        <w:t>N.B. Visto che questa edizione si svolgerà prevalentemente/totalmente via web, le scuole che aderiranno dovranno essere in possesso di connessione internet con postazioni PC .</w:t>
      </w:r>
    </w:p>
    <w:p w14:paraId="00000014" w14:textId="77777777" w:rsidR="00265695" w:rsidRDefault="00265695">
      <w:pPr>
        <w:jc w:val="both"/>
      </w:pPr>
      <w:bookmarkStart w:id="1" w:name="_gjdgxs" w:colFirst="0" w:colLast="0"/>
      <w:bookmarkEnd w:id="1"/>
    </w:p>
    <w:sectPr w:rsidR="00265695">
      <w:headerReference w:type="default" r:id="rId11"/>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8B5A6" w14:textId="77777777" w:rsidR="00824B60" w:rsidRDefault="00824B60" w:rsidP="00993C8A">
      <w:pPr>
        <w:spacing w:after="0" w:line="240" w:lineRule="auto"/>
      </w:pPr>
      <w:r>
        <w:separator/>
      </w:r>
    </w:p>
  </w:endnote>
  <w:endnote w:type="continuationSeparator" w:id="0">
    <w:p w14:paraId="071B70B3" w14:textId="77777777" w:rsidR="00824B60" w:rsidRDefault="00824B60" w:rsidP="0099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CA9F7" w14:textId="77777777" w:rsidR="00824B60" w:rsidRDefault="00824B60" w:rsidP="00993C8A">
      <w:pPr>
        <w:spacing w:after="0" w:line="240" w:lineRule="auto"/>
      </w:pPr>
      <w:r>
        <w:separator/>
      </w:r>
    </w:p>
  </w:footnote>
  <w:footnote w:type="continuationSeparator" w:id="0">
    <w:p w14:paraId="1AF19A17" w14:textId="77777777" w:rsidR="00824B60" w:rsidRDefault="00824B60" w:rsidP="00993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99" w:type="pct"/>
      <w:jc w:val="center"/>
      <w:tblLayout w:type="fixed"/>
      <w:tblCellMar>
        <w:left w:w="70" w:type="dxa"/>
        <w:right w:w="70" w:type="dxa"/>
      </w:tblCellMar>
      <w:tblLook w:val="01E0" w:firstRow="1" w:lastRow="1" w:firstColumn="1" w:lastColumn="1" w:noHBand="0" w:noVBand="0"/>
    </w:tblPr>
    <w:tblGrid>
      <w:gridCol w:w="1451"/>
      <w:gridCol w:w="7631"/>
      <w:gridCol w:w="1281"/>
    </w:tblGrid>
    <w:tr w:rsidR="00993C8A" w:rsidRPr="00993C8A" w14:paraId="183B33D6" w14:textId="77777777" w:rsidTr="00317439">
      <w:trPr>
        <w:cantSplit/>
        <w:trHeight w:val="1253"/>
        <w:jc w:val="center"/>
      </w:trPr>
      <w:tc>
        <w:tcPr>
          <w:tcW w:w="700" w:type="pct"/>
          <w:vMerge w:val="restart"/>
          <w:vAlign w:val="center"/>
        </w:tcPr>
        <w:p w14:paraId="412B9C59" w14:textId="77777777" w:rsidR="00993C8A" w:rsidRPr="00993C8A" w:rsidRDefault="00993C8A" w:rsidP="00993C8A">
          <w:pPr>
            <w:spacing w:after="0" w:line="240" w:lineRule="auto"/>
            <w:jc w:val="center"/>
            <w:rPr>
              <w:rFonts w:ascii="Tahoma" w:eastAsia="Times New Roman" w:hAnsi="Tahoma" w:cs="Arial"/>
              <w:sz w:val="24"/>
              <w:szCs w:val="24"/>
              <w:lang w:val="en-GB"/>
            </w:rPr>
          </w:pPr>
          <w:r w:rsidRPr="00993C8A">
            <w:rPr>
              <w:rFonts w:ascii="Tahoma" w:eastAsia="Times New Roman" w:hAnsi="Tahoma" w:cs="Arial"/>
              <w:noProof/>
              <w:sz w:val="24"/>
              <w:szCs w:val="24"/>
            </w:rPr>
            <w:drawing>
              <wp:inline distT="0" distB="0" distL="0" distR="0" wp14:anchorId="5A9EA9ED" wp14:editId="13E9D9CB">
                <wp:extent cx="733425" cy="695325"/>
                <wp:effectExtent l="0" t="0" r="9525" b="9525"/>
                <wp:docPr id="1" name="Immagine 1" descr="Immagine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3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695325"/>
                        </a:xfrm>
                        <a:prstGeom prst="rect">
                          <a:avLst/>
                        </a:prstGeom>
                        <a:noFill/>
                        <a:ln>
                          <a:noFill/>
                        </a:ln>
                      </pic:spPr>
                    </pic:pic>
                  </a:graphicData>
                </a:graphic>
              </wp:inline>
            </w:drawing>
          </w:r>
        </w:p>
      </w:tc>
      <w:tc>
        <w:tcPr>
          <w:tcW w:w="3682" w:type="pct"/>
          <w:vMerge w:val="restart"/>
        </w:tcPr>
        <w:p w14:paraId="4119CDEF" w14:textId="77777777" w:rsidR="00993C8A" w:rsidRPr="00993C8A" w:rsidRDefault="00993C8A" w:rsidP="00993C8A">
          <w:pPr>
            <w:spacing w:after="0" w:line="240" w:lineRule="auto"/>
            <w:jc w:val="center"/>
            <w:rPr>
              <w:rFonts w:ascii="Tahoma" w:eastAsia="Times New Roman" w:hAnsi="Tahoma" w:cs="Arial"/>
              <w:sz w:val="20"/>
              <w:szCs w:val="20"/>
            </w:rPr>
          </w:pPr>
          <w:r w:rsidRPr="00993C8A">
            <w:rPr>
              <w:rFonts w:ascii="Tahoma" w:eastAsia="Times New Roman" w:hAnsi="Tahoma" w:cs="Arial"/>
              <w:b/>
              <w:noProof/>
              <w:color w:val="0000FF"/>
              <w:sz w:val="20"/>
              <w:szCs w:val="20"/>
            </w:rPr>
            <w:drawing>
              <wp:inline distT="0" distB="0" distL="0" distR="0" wp14:anchorId="0D54FB6B" wp14:editId="103DF3F8">
                <wp:extent cx="466725" cy="5143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514350"/>
                        </a:xfrm>
                        <a:prstGeom prst="rect">
                          <a:avLst/>
                        </a:prstGeom>
                        <a:noFill/>
                        <a:ln>
                          <a:noFill/>
                        </a:ln>
                      </pic:spPr>
                    </pic:pic>
                  </a:graphicData>
                </a:graphic>
              </wp:inline>
            </w:drawing>
          </w:r>
        </w:p>
        <w:p w14:paraId="15FE2E3B" w14:textId="77777777" w:rsidR="00993C8A" w:rsidRPr="00993C8A" w:rsidRDefault="00993C8A" w:rsidP="00993C8A">
          <w:pPr>
            <w:keepNext/>
            <w:keepLines/>
            <w:spacing w:after="0" w:line="220" w:lineRule="atLeast"/>
            <w:jc w:val="center"/>
            <w:outlineLvl w:val="1"/>
            <w:rPr>
              <w:rFonts w:ascii="Arial" w:eastAsia="Times New Roman" w:hAnsi="Arial" w:cs="Arial"/>
              <w:b/>
              <w:color w:val="0000FF"/>
              <w:spacing w:val="-10"/>
              <w:kern w:val="20"/>
              <w:sz w:val="17"/>
              <w:szCs w:val="17"/>
            </w:rPr>
          </w:pPr>
          <w:r w:rsidRPr="00993C8A">
            <w:rPr>
              <w:rFonts w:ascii="Arial" w:eastAsia="Times New Roman" w:hAnsi="Arial" w:cs="Arial"/>
              <w:b/>
              <w:color w:val="0000FF"/>
              <w:spacing w:val="-10"/>
              <w:kern w:val="20"/>
              <w:sz w:val="17"/>
              <w:szCs w:val="17"/>
            </w:rPr>
            <w:t>Ministero dell’Istruzione, dell’Università e della Ricerca - Ufficio Scolastico Regionale per il Lazio</w:t>
          </w:r>
        </w:p>
        <w:p w14:paraId="53405032" w14:textId="77777777" w:rsidR="00993C8A" w:rsidRPr="00993C8A" w:rsidRDefault="00993C8A" w:rsidP="00993C8A">
          <w:pPr>
            <w:keepNext/>
            <w:keepLines/>
            <w:spacing w:before="120" w:after="120" w:line="220" w:lineRule="atLeast"/>
            <w:jc w:val="center"/>
            <w:outlineLvl w:val="1"/>
            <w:rPr>
              <w:rFonts w:ascii="Arial" w:eastAsia="Times New Roman" w:hAnsi="Arial" w:cs="Arial"/>
              <w:b/>
              <w:i/>
              <w:color w:val="0000FF"/>
              <w:kern w:val="20"/>
              <w:sz w:val="28"/>
              <w:szCs w:val="28"/>
            </w:rPr>
          </w:pPr>
          <w:r w:rsidRPr="00993C8A">
            <w:rPr>
              <w:rFonts w:ascii="Arial" w:eastAsia="Times New Roman" w:hAnsi="Arial" w:cs="Arial"/>
              <w:b/>
              <w:i/>
              <w:color w:val="0000FF"/>
              <w:kern w:val="20"/>
              <w:sz w:val="28"/>
              <w:szCs w:val="28"/>
            </w:rPr>
            <w:t>ISTITUTO TECNICO INDUSTRIALE STATALE</w:t>
          </w:r>
        </w:p>
        <w:p w14:paraId="655161EF" w14:textId="77777777" w:rsidR="00993C8A" w:rsidRPr="00993C8A" w:rsidRDefault="00993C8A" w:rsidP="00993C8A">
          <w:pPr>
            <w:spacing w:after="120" w:line="240" w:lineRule="auto"/>
            <w:jc w:val="center"/>
            <w:rPr>
              <w:rFonts w:ascii="Arial" w:eastAsia="Times New Roman" w:hAnsi="Arial" w:cs="Arial"/>
              <w:i/>
              <w:color w:val="0000FF"/>
              <w:sz w:val="20"/>
              <w:szCs w:val="20"/>
            </w:rPr>
          </w:pPr>
          <w:r w:rsidRPr="00993C8A">
            <w:rPr>
              <w:rFonts w:ascii="Arial" w:eastAsia="Times New Roman" w:hAnsi="Arial" w:cs="Arial"/>
              <w:b/>
              <w:i/>
              <w:color w:val="0000FF"/>
              <w:sz w:val="20"/>
              <w:szCs w:val="20"/>
            </w:rPr>
            <w:t>“M.O.V.M. DON GIUSEPPE MOROSINI”</w:t>
          </w:r>
        </w:p>
        <w:p w14:paraId="7E26EA82" w14:textId="77777777" w:rsidR="00993C8A" w:rsidRPr="00993C8A" w:rsidRDefault="00993C8A" w:rsidP="00993C8A">
          <w:pPr>
            <w:spacing w:after="0" w:line="240" w:lineRule="auto"/>
            <w:jc w:val="center"/>
            <w:rPr>
              <w:rFonts w:ascii="Arial" w:eastAsia="Times New Roman" w:hAnsi="Arial" w:cs="Arial"/>
              <w:b/>
              <w:i/>
              <w:color w:val="0000FF"/>
              <w:sz w:val="17"/>
              <w:szCs w:val="17"/>
            </w:rPr>
          </w:pPr>
          <w:r w:rsidRPr="00993C8A">
            <w:rPr>
              <w:rFonts w:ascii="Arial" w:eastAsia="Times New Roman" w:hAnsi="Arial" w:cs="Arial"/>
              <w:b/>
              <w:i/>
              <w:color w:val="0000FF"/>
              <w:sz w:val="17"/>
              <w:szCs w:val="17"/>
            </w:rPr>
            <w:t>ELETTRONICA ED ELETTROTECNICA Articolazioni di ELETTRONICA e di AUTOMAZIONE</w:t>
          </w:r>
        </w:p>
        <w:p w14:paraId="35FF7184" w14:textId="77777777" w:rsidR="00993C8A" w:rsidRPr="00993C8A" w:rsidRDefault="00993C8A" w:rsidP="00993C8A">
          <w:pPr>
            <w:spacing w:after="0" w:line="240" w:lineRule="auto"/>
            <w:jc w:val="center"/>
            <w:rPr>
              <w:rFonts w:ascii="Arial" w:eastAsia="Times New Roman" w:hAnsi="Arial" w:cs="Arial"/>
              <w:b/>
              <w:i/>
              <w:color w:val="0000FF"/>
              <w:sz w:val="17"/>
              <w:szCs w:val="17"/>
            </w:rPr>
          </w:pPr>
          <w:r w:rsidRPr="00993C8A">
            <w:rPr>
              <w:rFonts w:ascii="Arial" w:eastAsia="Times New Roman" w:hAnsi="Arial" w:cs="Arial"/>
              <w:b/>
              <w:i/>
              <w:color w:val="0000FF"/>
              <w:sz w:val="17"/>
              <w:szCs w:val="17"/>
            </w:rPr>
            <w:t>TRASPORTI E LOGISTICA - Opzione COSTRUZIONI AERONAUTICHE</w:t>
          </w:r>
        </w:p>
        <w:p w14:paraId="23B2AB33" w14:textId="77777777" w:rsidR="00993C8A" w:rsidRPr="00993C8A" w:rsidRDefault="00993C8A" w:rsidP="00993C8A">
          <w:pPr>
            <w:spacing w:after="0" w:line="240" w:lineRule="auto"/>
            <w:jc w:val="center"/>
            <w:rPr>
              <w:rFonts w:ascii="Arial" w:eastAsia="Times New Roman" w:hAnsi="Arial" w:cs="Arial"/>
              <w:b/>
              <w:i/>
              <w:color w:val="0000FF"/>
              <w:sz w:val="17"/>
              <w:szCs w:val="17"/>
            </w:rPr>
          </w:pPr>
          <w:r w:rsidRPr="00993C8A">
            <w:rPr>
              <w:rFonts w:ascii="Arial" w:eastAsia="Times New Roman" w:hAnsi="Arial" w:cs="Arial"/>
              <w:b/>
              <w:i/>
              <w:color w:val="0000FF"/>
              <w:sz w:val="17"/>
              <w:szCs w:val="17"/>
            </w:rPr>
            <w:t>MECCANICA, MECCATRONICA ED ENERGIA Articolazione ENERGIA</w:t>
          </w:r>
        </w:p>
        <w:p w14:paraId="185E79A1" w14:textId="77777777" w:rsidR="00993C8A" w:rsidRPr="00993C8A" w:rsidRDefault="00993C8A" w:rsidP="00993C8A">
          <w:pPr>
            <w:spacing w:before="60" w:after="0" w:line="240" w:lineRule="auto"/>
            <w:jc w:val="center"/>
            <w:rPr>
              <w:rFonts w:ascii="Tahoma" w:eastAsia="Times New Roman" w:hAnsi="Tahoma" w:cs="Arial"/>
              <w:color w:val="0000FF"/>
              <w:sz w:val="20"/>
              <w:szCs w:val="20"/>
            </w:rPr>
          </w:pPr>
          <w:r w:rsidRPr="00993C8A">
            <w:rPr>
              <w:rFonts w:ascii="Arial" w:eastAsia="Times New Roman" w:hAnsi="Arial" w:cs="Arial"/>
              <w:b/>
              <w:i/>
              <w:color w:val="0000FF"/>
              <w:sz w:val="17"/>
              <w:szCs w:val="17"/>
            </w:rPr>
            <w:t>Percorso di II livello (ex Corso serale) ELETTROTECNICA</w:t>
          </w:r>
          <w:r w:rsidRPr="00993C8A">
            <w:rPr>
              <w:rFonts w:ascii="Arial" w:eastAsia="Times New Roman" w:hAnsi="Arial" w:cs="Arial"/>
              <w:b/>
              <w:color w:val="0000FF"/>
              <w:sz w:val="17"/>
              <w:szCs w:val="17"/>
            </w:rPr>
            <w:t xml:space="preserve"> </w:t>
          </w:r>
        </w:p>
      </w:tc>
      <w:tc>
        <w:tcPr>
          <w:tcW w:w="618" w:type="pct"/>
          <w:vAlign w:val="center"/>
        </w:tcPr>
        <w:p w14:paraId="7B6CCE81" w14:textId="77777777" w:rsidR="00993C8A" w:rsidRPr="00993C8A" w:rsidRDefault="00993C8A" w:rsidP="00993C8A">
          <w:pPr>
            <w:spacing w:after="0" w:line="240" w:lineRule="auto"/>
            <w:jc w:val="center"/>
            <w:rPr>
              <w:rFonts w:ascii="Tahoma" w:eastAsia="Times New Roman" w:hAnsi="Tahoma" w:cs="Tahoma"/>
              <w:sz w:val="15"/>
              <w:szCs w:val="15"/>
            </w:rPr>
          </w:pPr>
          <w:r w:rsidRPr="00993C8A">
            <w:rPr>
              <w:rFonts w:ascii="Tahoma" w:eastAsia="Times New Roman" w:hAnsi="Tahoma" w:cs="Tahoma"/>
              <w:noProof/>
              <w:sz w:val="15"/>
              <w:szCs w:val="15"/>
            </w:rPr>
            <w:drawing>
              <wp:inline distT="0" distB="0" distL="0" distR="0" wp14:anchorId="33C51822" wp14:editId="2B3B9C2E">
                <wp:extent cx="523875" cy="523875"/>
                <wp:effectExtent l="0" t="0" r="9525" b="9525"/>
                <wp:docPr id="3" name="Immagine 3" descr="Immagine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agine2_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993C8A" w:rsidRPr="00993C8A" w14:paraId="4118BCC0" w14:textId="77777777" w:rsidTr="00317439">
      <w:trPr>
        <w:cantSplit/>
        <w:trHeight w:val="1039"/>
        <w:jc w:val="center"/>
      </w:trPr>
      <w:tc>
        <w:tcPr>
          <w:tcW w:w="700" w:type="pct"/>
          <w:vMerge/>
          <w:vAlign w:val="center"/>
        </w:tcPr>
        <w:p w14:paraId="32404DB8" w14:textId="77777777" w:rsidR="00993C8A" w:rsidRPr="00993C8A" w:rsidRDefault="00993C8A" w:rsidP="00993C8A">
          <w:pPr>
            <w:spacing w:after="0" w:line="240" w:lineRule="auto"/>
            <w:rPr>
              <w:rFonts w:ascii="Tahoma" w:eastAsia="Times New Roman" w:hAnsi="Tahoma" w:cs="Arial"/>
              <w:b/>
              <w:i/>
              <w:sz w:val="24"/>
              <w:szCs w:val="24"/>
              <w:lang w:val="en-GB"/>
            </w:rPr>
          </w:pPr>
        </w:p>
      </w:tc>
      <w:tc>
        <w:tcPr>
          <w:tcW w:w="3682" w:type="pct"/>
          <w:vMerge/>
          <w:vAlign w:val="center"/>
        </w:tcPr>
        <w:p w14:paraId="67F24F6D" w14:textId="77777777" w:rsidR="00993C8A" w:rsidRPr="00993C8A" w:rsidRDefault="00993C8A" w:rsidP="00993C8A">
          <w:pPr>
            <w:spacing w:after="0" w:line="240" w:lineRule="auto"/>
            <w:rPr>
              <w:rFonts w:ascii="Tahoma" w:eastAsia="Times New Roman" w:hAnsi="Tahoma" w:cs="Arial"/>
              <w:i/>
              <w:sz w:val="20"/>
              <w:szCs w:val="20"/>
            </w:rPr>
          </w:pPr>
        </w:p>
      </w:tc>
      <w:tc>
        <w:tcPr>
          <w:tcW w:w="618" w:type="pct"/>
          <w:vAlign w:val="center"/>
        </w:tcPr>
        <w:p w14:paraId="55DE02A8" w14:textId="77777777" w:rsidR="00993C8A" w:rsidRPr="00993C8A" w:rsidRDefault="00993C8A" w:rsidP="00993C8A">
          <w:pPr>
            <w:spacing w:after="0" w:line="240" w:lineRule="auto"/>
            <w:jc w:val="center"/>
            <w:rPr>
              <w:rFonts w:ascii="Tahoma" w:eastAsia="Times New Roman" w:hAnsi="Tahoma" w:cs="Tahoma"/>
              <w:sz w:val="15"/>
              <w:szCs w:val="15"/>
            </w:rPr>
          </w:pPr>
          <w:r w:rsidRPr="00993C8A">
            <w:rPr>
              <w:rFonts w:ascii="Tahoma" w:eastAsia="Times New Roman" w:hAnsi="Tahoma" w:cs="Tahoma"/>
              <w:noProof/>
              <w:sz w:val="15"/>
              <w:szCs w:val="15"/>
            </w:rPr>
            <w:drawing>
              <wp:inline distT="0" distB="0" distL="0" distR="0" wp14:anchorId="28E363A9" wp14:editId="367300CB">
                <wp:extent cx="561975" cy="552450"/>
                <wp:effectExtent l="0" t="0" r="9525" b="0"/>
                <wp:docPr id="4" name="Immagine 4" descr="Immagine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1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p>
      </w:tc>
    </w:tr>
    <w:tr w:rsidR="00993C8A" w:rsidRPr="00993C8A" w14:paraId="1A58C588" w14:textId="77777777" w:rsidTr="00317439">
      <w:trPr>
        <w:cantSplit/>
        <w:trHeight w:val="738"/>
        <w:jc w:val="center"/>
      </w:trPr>
      <w:tc>
        <w:tcPr>
          <w:tcW w:w="700" w:type="pct"/>
          <w:vMerge/>
          <w:vAlign w:val="center"/>
        </w:tcPr>
        <w:p w14:paraId="6D0DE3CB" w14:textId="77777777" w:rsidR="00993C8A" w:rsidRPr="00993C8A" w:rsidRDefault="00993C8A" w:rsidP="00993C8A">
          <w:pPr>
            <w:spacing w:after="0" w:line="240" w:lineRule="auto"/>
            <w:rPr>
              <w:rFonts w:ascii="Tahoma" w:eastAsia="Times New Roman" w:hAnsi="Tahoma" w:cs="Arial"/>
              <w:b/>
              <w:i/>
              <w:sz w:val="24"/>
              <w:szCs w:val="24"/>
              <w:lang w:val="en-GB"/>
            </w:rPr>
          </w:pPr>
        </w:p>
      </w:tc>
      <w:tc>
        <w:tcPr>
          <w:tcW w:w="3682" w:type="pct"/>
          <w:vMerge/>
          <w:vAlign w:val="center"/>
        </w:tcPr>
        <w:p w14:paraId="48E8DEFA" w14:textId="77777777" w:rsidR="00993C8A" w:rsidRPr="00993C8A" w:rsidRDefault="00993C8A" w:rsidP="00993C8A">
          <w:pPr>
            <w:spacing w:after="0" w:line="240" w:lineRule="auto"/>
            <w:rPr>
              <w:rFonts w:ascii="Tahoma" w:eastAsia="Times New Roman" w:hAnsi="Tahoma" w:cs="Arial"/>
              <w:i/>
              <w:sz w:val="20"/>
              <w:szCs w:val="20"/>
            </w:rPr>
          </w:pPr>
        </w:p>
      </w:tc>
      <w:tc>
        <w:tcPr>
          <w:tcW w:w="618" w:type="pct"/>
        </w:tcPr>
        <w:p w14:paraId="28BEFCCE" w14:textId="77777777" w:rsidR="00993C8A" w:rsidRPr="00993C8A" w:rsidRDefault="00993C8A" w:rsidP="00993C8A">
          <w:pPr>
            <w:spacing w:after="0" w:line="240" w:lineRule="auto"/>
            <w:jc w:val="center"/>
            <w:rPr>
              <w:rFonts w:ascii="Tahoma" w:eastAsia="Times New Roman" w:hAnsi="Tahoma" w:cs="Tahoma"/>
              <w:sz w:val="15"/>
              <w:szCs w:val="15"/>
            </w:rPr>
          </w:pPr>
          <w:r w:rsidRPr="00993C8A">
            <w:rPr>
              <w:rFonts w:ascii="Tahoma" w:eastAsia="Times New Roman" w:hAnsi="Tahoma" w:cs="Tahoma"/>
              <w:sz w:val="15"/>
              <w:szCs w:val="15"/>
            </w:rPr>
            <w:t>Istituto certificato</w:t>
          </w:r>
        </w:p>
        <w:p w14:paraId="41F53876" w14:textId="77777777" w:rsidR="00993C8A" w:rsidRPr="00993C8A" w:rsidRDefault="00993C8A" w:rsidP="00993C8A">
          <w:pPr>
            <w:spacing w:after="0" w:line="240" w:lineRule="auto"/>
            <w:jc w:val="center"/>
            <w:rPr>
              <w:rFonts w:ascii="Tahoma" w:eastAsia="Times New Roman" w:hAnsi="Tahoma" w:cs="Tahoma"/>
              <w:sz w:val="15"/>
              <w:szCs w:val="15"/>
            </w:rPr>
          </w:pPr>
          <w:r w:rsidRPr="00993C8A">
            <w:rPr>
              <w:rFonts w:ascii="Tahoma" w:eastAsia="Times New Roman" w:hAnsi="Tahoma" w:cs="Tahoma"/>
              <w:sz w:val="15"/>
              <w:szCs w:val="15"/>
            </w:rPr>
            <w:t>ISO 9001: 2008</w:t>
          </w:r>
        </w:p>
        <w:p w14:paraId="7783E799" w14:textId="77777777" w:rsidR="00993C8A" w:rsidRPr="00993C8A" w:rsidRDefault="00993C8A" w:rsidP="00993C8A">
          <w:pPr>
            <w:spacing w:after="0" w:line="240" w:lineRule="auto"/>
            <w:jc w:val="center"/>
            <w:rPr>
              <w:rFonts w:ascii="Tahoma" w:eastAsia="Times New Roman" w:hAnsi="Tahoma" w:cs="Tahoma"/>
              <w:sz w:val="15"/>
              <w:szCs w:val="15"/>
            </w:rPr>
          </w:pPr>
          <w:r w:rsidRPr="00993C8A">
            <w:rPr>
              <w:rFonts w:ascii="Tahoma" w:eastAsia="Times New Roman" w:hAnsi="Tahoma" w:cs="Tahoma"/>
              <w:sz w:val="15"/>
              <w:szCs w:val="15"/>
            </w:rPr>
            <w:t>Reg. n. 30820</w:t>
          </w:r>
        </w:p>
      </w:tc>
    </w:tr>
  </w:tbl>
  <w:p w14:paraId="75955999" w14:textId="77777777" w:rsidR="00993C8A" w:rsidRDefault="00993C8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0024"/>
    <w:multiLevelType w:val="multilevel"/>
    <w:tmpl w:val="43A6A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65695"/>
    <w:rsid w:val="00245DE0"/>
    <w:rsid w:val="00265695"/>
    <w:rsid w:val="00824B60"/>
    <w:rsid w:val="00993C8A"/>
    <w:rsid w:val="009C1A87"/>
    <w:rsid w:val="00BF6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93C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3C8A"/>
  </w:style>
  <w:style w:type="paragraph" w:styleId="Pidipagina">
    <w:name w:val="footer"/>
    <w:basedOn w:val="Normale"/>
    <w:link w:val="PidipaginaCarattere"/>
    <w:uiPriority w:val="99"/>
    <w:unhideWhenUsed/>
    <w:rsid w:val="00993C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3C8A"/>
  </w:style>
  <w:style w:type="paragraph" w:styleId="Testofumetto">
    <w:name w:val="Balloon Text"/>
    <w:basedOn w:val="Normale"/>
    <w:link w:val="TestofumettoCarattere"/>
    <w:uiPriority w:val="99"/>
    <w:semiHidden/>
    <w:unhideWhenUsed/>
    <w:rsid w:val="00993C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93C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3C8A"/>
  </w:style>
  <w:style w:type="paragraph" w:styleId="Pidipagina">
    <w:name w:val="footer"/>
    <w:basedOn w:val="Normale"/>
    <w:link w:val="PidipaginaCarattere"/>
    <w:uiPriority w:val="99"/>
    <w:unhideWhenUsed/>
    <w:rsid w:val="00993C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3C8A"/>
  </w:style>
  <w:style w:type="paragraph" w:styleId="Testofumetto">
    <w:name w:val="Balloon Text"/>
    <w:basedOn w:val="Normale"/>
    <w:link w:val="TestofumettoCarattere"/>
    <w:uiPriority w:val="99"/>
    <w:semiHidden/>
    <w:unhideWhenUsed/>
    <w:rsid w:val="00993C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ismorosini.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ismorosini.it" TargetMode="External"/><Relationship Id="rId4" Type="http://schemas.openxmlformats.org/officeDocument/2006/relationships/settings" Target="settings.xml"/><Relationship Id="rId9" Type="http://schemas.openxmlformats.org/officeDocument/2006/relationships/hyperlink" Target="http://www.itismorosin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321</Words>
  <Characters>1834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 Giona</dc:creator>
  <cp:lastModifiedBy>Filomena Giona</cp:lastModifiedBy>
  <cp:revision>6</cp:revision>
  <cp:lastPrinted>2021-10-12T11:03:00Z</cp:lastPrinted>
  <dcterms:created xsi:type="dcterms:W3CDTF">2021-10-11T08:14:00Z</dcterms:created>
  <dcterms:modified xsi:type="dcterms:W3CDTF">2021-10-12T11:03:00Z</dcterms:modified>
</cp:coreProperties>
</file>